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1.png" ContentType="image/png"/>
  <Override PartName="/word/media/rId59.png" ContentType="image/png"/>
  <Override PartName="/word/media/rId60.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that describe instream (i.e., substrate) condition and stream corridor (i.e., riparian) condition, respectively;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Whether monitoring programs are large and complex or small and straightforward, all share the challenge of how to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lines of evidence are not in complete agreement with one another.</w:t>
      </w:r>
    </w:p>
    <w:p>
      <w:pPr>
        <w:pStyle w:val="BodyText"/>
      </w:pPr>
      <w:r>
        <w:t xml:space="preserve">Multiple well-known tools exist for effectively communicating information for a single line of evidence.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have been used as single lines of evidence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preferential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line of evidence. This is fundamentally different than treating indicators as equivalent lines of evidence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in-stream stressors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lines of evidence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lines of evidence of the likelihood of biological alteration in the benthic macroinvertebrate and algal communities. Both lines of evidence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have a conceptual relationship with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w:t>
      </w:r>
      <w:r>
        <w:t xml:space="preserve">and contaminants often co-occur with elevated nutrients or specific conductivity. As such, the selected indicators are an effective proxy for stressors that are in the minority of water quality data available for southern California streams.</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both were included in the SQI because they provide unique information about physical habitat; IPI scores better describe instream condition and CRAM scores better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binary categories of high/low CSCI and high/low ASCI: healthy, impacted for CSCI, impacted for ASCI, and impacted for both. The possible stressor condition categories for a site were based on the four outcomes of the binary combinations of high/low chemistry stress and high/low physical habitat stress: low stress, stressed by chemistry, stressed by habitat, and stressed by both. A fifth stress category was also possible based on the additive combinations of low chemistry and low habitat stress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 Thresholds for biological indices that defined high/low condition were based on the tenth percentile distribution of scores at reference sites for each index. Thresholds for low/moderate/high stress were based on 10% ad 90% likelihoods of observing a biological impact.</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the categorical results based on different decision points that defined biological condition and stress thresholds. As a general trend, lowering the cutpoint for healthy/impacted to designate more sites as healthy (-6) caused in increase in the amount of sites as</w:t>
      </w:r>
      <w:r>
        <w:t xml:space="preserve"> </w:t>
      </w:r>
      <w:r>
        <w:t xml:space="preserve">“</w:t>
      </w:r>
      <w:r>
        <w:t xml:space="preserve">low stress</w:t>
      </w:r>
      <w:r>
        <w:t xml:space="preserve">”</w:t>
      </w:r>
      <w:r>
        <w:t xml:space="preserve"> </w:t>
      </w:r>
      <w:r>
        <w:t xml:space="preserve">for the stress condition and sites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w:t>
      </w:r>
      <w:r>
        <w:t xml:space="preserve">for the overall SQI. Conversely, increasing the cutpoint for healthy/impacted to designate more sites as impacted (-6) caused in increase in the amount of sites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7</w:t>
      </w:r>
      <w:r>
        <w:t xml:space="preserve">,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8</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8</w:t>
      </w:r>
      <w:r>
        <w:t xml:space="preserve">a).</w:t>
      </w:r>
    </w:p>
    <w:p>
      <w:pPr>
        <w:pStyle w:val="BodyText"/>
      </w:pPr>
      <w:r>
        <w:t xml:space="preserve">An independent causal assessment study was conducted in 2018 to determine the causes of biological impairment in San Diego Creek. A detailed description of causal assessment is beyond the scope of this paper, although in short, causal assessment is a formalized approach using multiple lines of evidence to characterize stressors as likely, unlikely, or insufficient evidence in relation to the biological condition</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resulting form channel alteration was the most likely cause of low CSCI scores. Alternatively, nutrients, although elevated, were not fully evaluated because of insufficient algal data (ASCI scores were not evaluated in the causal assessment). Finally, pesticides were also considered likely stressors impacting macroinvertebrate communities in San Diego Creek due to mosquito control practices in the region. As such, the SQI results are supported by causal assessment, with the latter providing a more comprehensive evaluation of links between stressors and biological condition.</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8</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and a formal causal assessment at the site may be needed to identify additional stressors that may be impacting the aquatic life use.</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lines of evidence,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via the application of the SQI to stream data from the southern California, this tool can be used to prioritize sites for restoration, protection, and other management activities on a large scale.</w:t>
      </w:r>
    </w:p>
    <w:p>
      <w:pPr>
        <w:pStyle w:val="BodyText"/>
      </w:pPr>
      <w:r>
        <w:t xml:space="preserve">While the simplest way to synthesize three lines of evidence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Because the SQI approach to characterizing stressors differs from similar past efforts, the SQI is well-suited for use with ambient monitoring programs. For example,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is a similar tool that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abstract numbers.</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Additional work on the SQI should explore how the categorical descriptions can be provided in the absence of all the necessary components.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lines of evidence could be a powerful tool to support watershed management. The SQI accurately captures our understanding of the roles that physical, chemical and biological indicators play in describing stream health. Furthermore, the SQI not only combines the three lines of evidence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Scott Martindale for providing editorial comments on an earlier draft. We thank the Stormwater Monitoring Coalition executive committee and science advisory group for feedback during the development of the Stream Quality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pPr>
        <w:pStyle w:val="CaptionedFigure"/>
      </w:pPr>
      <w:r>
        <w:drawing>
          <wp:inline>
            <wp:extent cx="5943600" cy="4160519"/>
            <wp:effectExtent b="0" l="0" r="0" t="0"/>
            <wp:docPr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title="" id="1" name="Picture"/>
            <a:graphic>
              <a:graphicData uri="http://schemas.openxmlformats.org/drawingml/2006/picture">
                <pic:pic>
                  <pic:nvPicPr>
                    <pic:cNvPr descr="figs/sns_fig.png" id="0" name="Picture"/>
                    <pic:cNvPicPr>
                      <a:picLocks noChangeArrowheads="1" noChangeAspect="1"/>
                    </pic:cNvPicPr>
                  </pic:nvPicPr>
                  <pic:blipFill>
                    <a:blip r:embed="rId60"/>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w:t>
      </w:r>
      <w:r>
        <w:t xml:space="preserve"> </w:t>
      </w:r>
      <w:r>
        <w:t xml:space="preserve">1</w:t>
      </w:r>
      <w:r>
        <w:t xml:space="preserve">. Results for cut points 3 and 4 were identical to cut point 2 and are not shown. Thresholds in the bottom row define categories for the stress conditions (i.e., dotted lines in Figure</w:t>
      </w:r>
      <w:r>
        <w:t xml:space="preserve"> </w:t>
      </w:r>
      <w:r>
        <w:t xml:space="preserve">6</w:t>
      </w:r>
      <w:r>
        <w:t xml:space="preserve">.</w:t>
      </w:r>
    </w:p>
    <w:p>
      <w:pPr>
        <w:pStyle w:val="CaptionedFigure"/>
      </w:pPr>
      <w:r>
        <w:drawing>
          <wp:inline>
            <wp:extent cx="5943600" cy="5060470"/>
            <wp:effectExtent b="0" l="0" r="0" t="0"/>
            <wp:docPr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1"/>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2" w:name="tables"/>
      <w:r>
        <w:t xml:space="preserve">Tables</w:t>
      </w:r>
      <w:bookmarkEnd w:id="62"/>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3" w:name="references"/>
      <w:r>
        <w:t xml:space="preserve">References</w:t>
      </w:r>
      <w:bookmarkEnd w:id="63"/>
    </w:p>
    <w:bookmarkStart w:id="113" w:name="refs"/>
    <w:bookmarkStart w:id="64"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4"/>
    <w:bookmarkStart w:id="66" w:name="ref-Bay12"/>
    <w:p>
      <w:pPr>
        <w:pStyle w:val="Bibliography"/>
      </w:pPr>
      <w:r>
        <w:t xml:space="preserve">Bay, S.M., Weisberg, S.B., 2012. Framework for interpreting sediment quality triad data. Integrated Environmental Assessment and Management 8, 589–596.</w:t>
      </w:r>
      <w:r>
        <w:t xml:space="preserve"> </w:t>
      </w:r>
      <w:hyperlink r:id="rId65">
        <w:r>
          <w:rPr>
            <w:rStyle w:val="Hyperlink"/>
          </w:rPr>
          <w:t xml:space="preserve">https://doi.org/10.1002/ieam.118</w:t>
        </w:r>
      </w:hyperlink>
    </w:p>
    <w:bookmarkEnd w:id="66"/>
    <w:bookmarkStart w:id="68" w:name="ref-Beck18f"/>
    <w:p>
      <w:pPr>
        <w:pStyle w:val="Bibliography"/>
      </w:pPr>
      <w:r>
        <w:t xml:space="preserve">Beck, M.W., Mazor, R.D., 2018. SCCWRP/SQI: v1.2.0 (Version 1.2.0). Zenodo,</w:t>
      </w:r>
      <w:r>
        <w:t xml:space="preserve"> </w:t>
      </w:r>
      <w:hyperlink r:id="rId67">
        <w:r>
          <w:rPr>
            <w:rStyle w:val="Hyperlink"/>
          </w:rPr>
          <w:t xml:space="preserve">http://doi.org/10.5281/zenodo.2587212</w:t>
        </w:r>
      </w:hyperlink>
      <w:r>
        <w:t xml:space="preserve">.</w:t>
      </w:r>
    </w:p>
    <w:bookmarkEnd w:id="68"/>
    <w:bookmarkStart w:id="70" w:name="ref-Beck19"/>
    <w:p>
      <w:pPr>
        <w:pStyle w:val="Bibliography"/>
      </w:pPr>
      <w:r>
        <w:t xml:space="preserve">Beck, M.W., Mazor, R.D., Theroux, S., Schiff, K.C., 2019. SCCWRP/SQI_Shiny: v1.0.0 (Version 1.0.0). Zenodo,</w:t>
      </w:r>
      <w:r>
        <w:t xml:space="preserve"> </w:t>
      </w:r>
      <w:hyperlink r:id="rId69">
        <w:r>
          <w:rPr>
            <w:rStyle w:val="Hyperlink"/>
          </w:rPr>
          <w:t xml:space="preserve">http://doi.org/10.5281/zenodo.2605438</w:t>
        </w:r>
      </w:hyperlink>
      <w:r>
        <w:t xml:space="preserve">.</w:t>
      </w:r>
    </w:p>
    <w:bookmarkEnd w:id="70"/>
    <w:bookmarkStart w:id="72"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1">
        <w:r>
          <w:rPr>
            <w:rStyle w:val="Hyperlink"/>
          </w:rPr>
          <w:t xml:space="preserve">https://doi.org/10.1899/06-078.1</w:t>
        </w:r>
      </w:hyperlink>
    </w:p>
    <w:bookmarkEnd w:id="72"/>
    <w:bookmarkStart w:id="73"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3"/>
    <w:bookmarkStart w:id="74" w:name="ref-Chang18"/>
    <w:p>
      <w:pPr>
        <w:pStyle w:val="Bibliography"/>
      </w:pPr>
      <w:r>
        <w:t xml:space="preserve">Chang, W., Cheng, J., Allaire, J., Xie, Y., McPherson, J., 2018. Shiny: Web application framework for r.</w:t>
      </w:r>
    </w:p>
    <w:bookmarkEnd w:id="74"/>
    <w:bookmarkStart w:id="75" w:name="ref-Collins07"/>
    <w:p>
      <w:pPr>
        <w:pStyle w:val="Bibliography"/>
      </w:pPr>
      <w:r>
        <w:t xml:space="preserve">Collins, J.N., Stein, E.D., Sutula, M., Clark, R., Fetscher, A.E., Grenier, L., Grosso, C., Wiskind, A., 2007. California Rapid Assessment Method (CRAM) for wetlands, ver.5.0.</w:t>
      </w:r>
    </w:p>
    <w:bookmarkEnd w:id="75"/>
    <w:bookmarkStart w:id="76" w:name="ref-Fox11"/>
    <w:p>
      <w:pPr>
        <w:pStyle w:val="Bibliography"/>
      </w:pPr>
      <w:r>
        <w:t xml:space="preserve">Fox, J., Weisberg, S., 2011. An R companion to applied regression. SAGE Publications Inc., Thousand Oaks, California.</w:t>
      </w:r>
    </w:p>
    <w:bookmarkEnd w:id="76"/>
    <w:bookmarkStart w:id="7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77">
        <w:r>
          <w:rPr>
            <w:rStyle w:val="Hyperlink"/>
          </w:rPr>
          <w:t xml:space="preserve">https://doi.org/10.1890/1051-0761(2000)010[1456:DAEOPM]2.0.CO;2</w:t>
        </w:r>
      </w:hyperlink>
    </w:p>
    <w:bookmarkEnd w:id="78"/>
    <w:bookmarkStart w:id="8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79">
        <w:r>
          <w:rPr>
            <w:rStyle w:val="Hyperlink"/>
          </w:rPr>
          <w:t xml:space="preserve">https://doi.org/10.1016/j.watres.2012.03.061</w:t>
        </w:r>
      </w:hyperlink>
    </w:p>
    <w:bookmarkEnd w:id="80"/>
    <w:bookmarkStart w:id="81" w:name="ref-Karr81"/>
    <w:p>
      <w:pPr>
        <w:pStyle w:val="Bibliography"/>
      </w:pPr>
      <w:r>
        <w:t xml:space="preserve">Karr, J.R., 1981. Assessment of biotic integrity using fish communities. Fisheries 6, 21–27.</w:t>
      </w:r>
    </w:p>
    <w:bookmarkEnd w:id="81"/>
    <w:bookmarkStart w:id="83" w:name="ref-Maddock99"/>
    <w:p>
      <w:pPr>
        <w:pStyle w:val="Bibliography"/>
      </w:pPr>
      <w:r>
        <w:t xml:space="preserve">Maddock, I., 1999. The importance of physical habitat assessment for evaluating river health. Freshwater Biology 41, 373–391.</w:t>
      </w:r>
      <w:r>
        <w:t xml:space="preserve"> </w:t>
      </w:r>
      <w:hyperlink r:id="rId82">
        <w:r>
          <w:rPr>
            <w:rStyle w:val="Hyperlink"/>
          </w:rPr>
          <w:t xml:space="preserve">https://doi.org/10.1046/j.1365-2427.1999.00437.x</w:t>
        </w:r>
      </w:hyperlink>
    </w:p>
    <w:bookmarkEnd w:id="83"/>
    <w:bookmarkStart w:id="85"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84">
        <w:r>
          <w:rPr>
            <w:rStyle w:val="Hyperlink"/>
          </w:rPr>
          <w:t xml:space="preserve">https://doi.org/10.1002/ieam.1702</w:t>
        </w:r>
      </w:hyperlink>
    </w:p>
    <w:bookmarkEnd w:id="85"/>
    <w:bookmarkStart w:id="86"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86"/>
    <w:bookmarkStart w:id="87"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87"/>
    <w:bookmarkStart w:id="89"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88">
        <w:r>
          <w:rPr>
            <w:rStyle w:val="Hyperlink"/>
          </w:rPr>
          <w:t xml:space="preserve">https://doi.org/10.1111/j.1365-2427.1987.tb01027.x</w:t>
        </w:r>
      </w:hyperlink>
    </w:p>
    <w:bookmarkEnd w:id="89"/>
    <w:bookmarkStart w:id="90" w:name="ref-NRC90"/>
    <w:p>
      <w:pPr>
        <w:pStyle w:val="Bibliography"/>
      </w:pPr>
      <w:r>
        <w:t xml:space="preserve">National Research Council, 1990. Managing troubled waters: The role of marine environmental monitoring. National Academy Press, Washington, DC.</w:t>
      </w:r>
    </w:p>
    <w:bookmarkEnd w:id="90"/>
    <w:bookmarkStart w:id="91" w:name="ref-Norton14"/>
    <w:p>
      <w:pPr>
        <w:pStyle w:val="Bibliography"/>
      </w:pPr>
      <w:r>
        <w:t xml:space="preserve">Norton, S.B., Cormier, S.M., II, G.W.S., 2014. Ecological causal assessment. CRC Press.</w:t>
      </w:r>
    </w:p>
    <w:bookmarkEnd w:id="91"/>
    <w:bookmarkStart w:id="92" w:name="ref-Ode07"/>
    <w:p>
      <w:pPr>
        <w:pStyle w:val="Bibliography"/>
      </w:pPr>
      <w:r>
        <w:t xml:space="preserve">Ode, P.R., 2007. Standard operating procedures for collecting benthic macroinvertebrate samples and associated physical and chemical data for ambient bioassessment in California.</w:t>
      </w:r>
    </w:p>
    <w:bookmarkEnd w:id="92"/>
    <w:bookmarkStart w:id="93"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93"/>
    <w:bookmarkStart w:id="95"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94">
        <w:r>
          <w:rPr>
            <w:rStyle w:val="Hyperlink"/>
          </w:rPr>
          <w:t xml:space="preserve">https://doi.org/10.1046/j.1529-8817.1999.3530460.x</w:t>
        </w:r>
      </w:hyperlink>
    </w:p>
    <w:bookmarkEnd w:id="95"/>
    <w:bookmarkStart w:id="97"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96">
        <w:r>
          <w:rPr>
            <w:rStyle w:val="Hyperlink"/>
          </w:rPr>
          <w:t xml:space="preserve">https://doi.org/10.1899/08-098.1</w:t>
        </w:r>
      </w:hyperlink>
    </w:p>
    <w:bookmarkEnd w:id="97"/>
    <w:bookmarkStart w:id="98" w:name="ref-RDCT18"/>
    <w:p>
      <w:pPr>
        <w:pStyle w:val="Bibliography"/>
      </w:pPr>
      <w:r>
        <w:t xml:space="preserve">RDCT (R Development Core Team), 2018. R: A language and environment for statistical computing, v3.5.1. R Foundation for Statistical Computing, Vienna, Austria.</w:t>
      </w:r>
    </w:p>
    <w:bookmarkEnd w:id="98"/>
    <w:bookmarkStart w:id="99"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99"/>
    <w:bookmarkStart w:id="101"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0">
        <w:r>
          <w:rPr>
            <w:rStyle w:val="Hyperlink"/>
          </w:rPr>
          <w:t xml:space="preserve">https://doi.org/10.1046/j.1365-2427.1997.d01-540.x</w:t>
        </w:r>
      </w:hyperlink>
    </w:p>
    <w:bookmarkEnd w:id="101"/>
    <w:bookmarkStart w:id="102"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02"/>
    <w:bookmarkStart w:id="104"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03">
        <w:r>
          <w:rPr>
            <w:rStyle w:val="Hyperlink"/>
          </w:rPr>
          <w:t xml:space="preserve">https://doi.org/10.1007/s11273-011-9230-6</w:t>
        </w:r>
      </w:hyperlink>
    </w:p>
    <w:bookmarkEnd w:id="104"/>
    <w:bookmarkStart w:id="106"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05">
        <w:r>
          <w:rPr>
            <w:rStyle w:val="Hyperlink"/>
          </w:rPr>
          <w:t xml:space="preserve">https://doi.org/10.1890/1051-0761(2006)016[1267:SEFTEC]2.0.CO;2</w:t>
        </w:r>
      </w:hyperlink>
    </w:p>
    <w:bookmarkEnd w:id="106"/>
    <w:bookmarkStart w:id="107" w:name="ref-Therouxip"/>
    <w:p>
      <w:pPr>
        <w:pStyle w:val="Bibliography"/>
      </w:pPr>
      <w:r>
        <w:t xml:space="preserve">Theroux, S., Mazor, R.D., Beck, M.W., Ode, P., Sutula, M., Stein, E.D., n.d. A non-predictive algal index for complex environments. Ecological Indicators.</w:t>
      </w:r>
    </w:p>
    <w:bookmarkEnd w:id="107"/>
    <w:bookmarkStart w:id="108" w:name="ref-USEPA16"/>
    <w:p>
      <w:pPr>
        <w:pStyle w:val="Bibliography"/>
      </w:pPr>
      <w:r>
        <w:t xml:space="preserve">USEPA (US Environmental Protection Agency), 2016. National rivers and streams assessment 2008-2009: A collaborative survey (No. EPA-841-R-16-007). Washington, DC.</w:t>
      </w:r>
    </w:p>
    <w:bookmarkEnd w:id="108"/>
    <w:bookmarkStart w:id="109" w:name="ref-Venables02"/>
    <w:p>
      <w:pPr>
        <w:pStyle w:val="Bibliography"/>
      </w:pPr>
      <w:r>
        <w:t xml:space="preserve">Venables, W.N., Ripley, B.D., 2002. Modern applied statistics with S, Fourth. ed. Springer-Verlag, New York, New York.</w:t>
      </w:r>
    </w:p>
    <w:bookmarkEnd w:id="109"/>
    <w:bookmarkStart w:id="111"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10">
        <w:r>
          <w:rPr>
            <w:rStyle w:val="Hyperlink"/>
          </w:rPr>
          <w:t xml:space="preserve">https://doi.org/10.1007/s00267-006-0135-8</w:t>
        </w:r>
      </w:hyperlink>
    </w:p>
    <w:bookmarkEnd w:id="111"/>
    <w:bookmarkStart w:id="112" w:name="ref-Zuur07"/>
    <w:p>
      <w:pPr>
        <w:pStyle w:val="Bibliography"/>
      </w:pPr>
      <w:r>
        <w:t xml:space="preserve">Zuur, A.F., Ieno, E.N., Smith, G.M., 2007. Analysing ecological data. Springer-Verlag, New York, New York.</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5"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5"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2019-05-10T22:46:02Z</dcterms:created>
  <dcterms:modified xsi:type="dcterms:W3CDTF">2019-05-10T22:46:02Z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